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82E9C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C2F345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A40F5C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920DA35" w14:textId="1FD54AA6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尚雪峰/Shang Xuefeng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C600F14" w14:textId="022B4638" w:rsidR="005C6C7D" w:rsidRDefault="00840F7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46812335" wp14:editId="602B02C3">
                  <wp:extent cx="727793" cy="1039767"/>
                  <wp:effectExtent l="0" t="0" r="0" b="8255"/>
                  <wp:docPr id="123771824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93" cy="103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E459DC5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8427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B1DBB" w14:textId="0BED73FF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07FD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5F37BE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264CF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235A9" w14:textId="0E64560C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33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173C7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7C2A69A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501E4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671C8" w14:textId="2000687B" w:rsidR="000057A9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7B2FE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AD8640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3178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AB8B7" w14:textId="072A05F7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D051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B1571B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2F86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04B4E" w14:textId="4A5F1839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376175"/>
                <w:sz w:val="14"/>
                <w:szCs w:val="14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fengsx0517@163.com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5B88A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B32A45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8E67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EC48A" w14:textId="5F4A0141" w:rsidR="005C6C7D" w:rsidRPr="00F634D7" w:rsidRDefault="00F634D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634D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17316190719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6C36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01A536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0D6EBA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60690677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CFEA767" w14:textId="351EFA99" w:rsidR="005C6C7D" w:rsidRDefault="00F634D7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城市防洪韧性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城市能源规划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复杂适应性城市系统</w:t>
            </w:r>
          </w:p>
        </w:tc>
      </w:tr>
      <w:tr w:rsidR="005C6C7D" w14:paraId="38A5922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9DA3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2F84E83A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E3B229" w14:textId="18230F60" w:rsidR="005C6C7D" w:rsidRDefault="00F634D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13718"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–</w:t>
            </w:r>
            <w:r w:rsidR="00E13718"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1371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天津大学 建筑学院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</w:p>
          <w:p w14:paraId="3436B53F" w14:textId="41C0AFBF" w:rsidR="0016090C" w:rsidRDefault="00F634D7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13718"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–</w:t>
            </w:r>
            <w:r w:rsidR="00E13718"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英国伦敦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学院（UCL）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巴特莱特建筑学院（</w:t>
            </w:r>
            <w:r w:rsidR="00E13718"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The Bartlett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）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城市设计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</w:p>
          <w:p w14:paraId="31D4105F" w14:textId="406A1BFE" w:rsidR="005C6C7D" w:rsidRPr="0016090C" w:rsidRDefault="00F634D7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13718"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–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北京林业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</w:p>
        </w:tc>
      </w:tr>
      <w:tr w:rsidR="005C6C7D" w14:paraId="274432C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DB92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7A2E0C79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E5DE06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6F36A72E" w14:textId="3825F892" w:rsidR="00E13718" w:rsidRPr="00E13718" w:rsidRDefault="00E13718" w:rsidP="00E1371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2025.10 </w:t>
            </w: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–</w:t>
            </w:r>
            <w:r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至今 天津城建大学 建筑学院城乡规划系 讲师/硕士生导师</w:t>
            </w:r>
          </w:p>
          <w:p w14:paraId="71B7D6FC" w14:textId="560E0A6D" w:rsidR="005C6C7D" w:rsidRPr="00E13718" w:rsidRDefault="00E13718" w:rsidP="00E1371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2017.12 – 2019.08 中国城市科学研究会 </w:t>
            </w:r>
            <w:r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研究人员</w:t>
            </w:r>
          </w:p>
          <w:p w14:paraId="40215C84" w14:textId="03506DC0" w:rsidR="00E13718" w:rsidRPr="00E13718" w:rsidRDefault="00E13718" w:rsidP="00E1371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2014.07 – 2014.09 北京清华同衡规划设计研究院 实习生 </w:t>
            </w:r>
          </w:p>
          <w:p w14:paraId="34BF6AF9" w14:textId="47CFF5AF" w:rsidR="005C6C7D" w:rsidRDefault="005C6C7D" w:rsidP="00E1371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E779BD0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3DA14DBC" w14:textId="6711C28A" w:rsidR="00B23BBA" w:rsidRPr="00E13718" w:rsidRDefault="00E13718" w:rsidP="00E1371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2017.06 –</w:t>
            </w:r>
            <w:r w:rsidRPr="00E137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2017.09 英国伦敦 URBAN 设计事务所 实习生</w:t>
            </w:r>
          </w:p>
          <w:p w14:paraId="702FF099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474C80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1779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4E96D4A4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F2A598F" w14:textId="37AAFDD6" w:rsidR="005C6C7D" w:rsidRDefault="00F634D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建筑设计；风景园林遗产；城市设计原理</w:t>
            </w:r>
          </w:p>
          <w:p w14:paraId="56BA9299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4437FF8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8885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D5C631E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912B6D" w14:textId="60488031" w:rsidR="00DA2BDA" w:rsidRDefault="0089353A" w:rsidP="0089353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137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中国生态城市研究院 技术顾问</w:t>
            </w:r>
          </w:p>
          <w:p w14:paraId="1058D050" w14:textId="4F748D0B" w:rsidR="0089353A" w:rsidRDefault="0089353A" w:rsidP="0089353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中国城市科学研究会 韧性城市专委会 委员</w:t>
            </w:r>
          </w:p>
          <w:p w14:paraId="43A4ED7C" w14:textId="4553BA7C" w:rsidR="0089353A" w:rsidRDefault="0089353A" w:rsidP="0089353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天津市青年科技工作者协会 能源与环境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科学专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委会 委员</w:t>
            </w:r>
          </w:p>
          <w:p w14:paraId="43C6E209" w14:textId="4DCBCD71" w:rsidR="0089353A" w:rsidRPr="0089353A" w:rsidRDefault="0089353A" w:rsidP="0089353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学术公众号“一览众山小-可持续城市与交通”</w:t>
            </w:r>
            <w:r w:rsidR="00F6750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成员</w:t>
            </w:r>
          </w:p>
          <w:p w14:paraId="183BE8BD" w14:textId="7F442588"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5C6C7D" w14:paraId="511E8EB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3422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5780951D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3059C69" w14:textId="352203B2" w:rsidR="0089353A" w:rsidRPr="0089353A" w:rsidRDefault="0089353A" w:rsidP="0089353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2025年</w:t>
            </w:r>
            <w:r w:rsidRPr="0089353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入选第十届中国科协青年人才托举工程</w:t>
            </w:r>
          </w:p>
          <w:p w14:paraId="4315864D" w14:textId="63FE158E" w:rsidR="0089353A" w:rsidRPr="0089353A" w:rsidRDefault="0089353A" w:rsidP="0089353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022年第六届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</w:t>
            </w: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城垣杯”规划决策支持模型设计大赛，二等奖</w:t>
            </w:r>
          </w:p>
          <w:p w14:paraId="5391F777" w14:textId="77777777" w:rsidR="0089353A" w:rsidRPr="0089353A" w:rsidRDefault="0089353A" w:rsidP="0089353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2022年全球青年科学家峰会（GYSS），青年科学家代表 </w:t>
            </w:r>
          </w:p>
          <w:p w14:paraId="21CF7FCD" w14:textId="256FF726" w:rsidR="0089353A" w:rsidRPr="0089353A" w:rsidRDefault="0089353A" w:rsidP="0089353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2022年联合国生物多样性公约第十五次缔约方大会（COP15），生物多样性科学探索营青年代表，并作为</w:t>
            </w:r>
            <w:proofErr w:type="gramStart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唯一青年</w:t>
            </w:r>
            <w:proofErr w:type="gramEnd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代表在开幕式发言 </w:t>
            </w:r>
          </w:p>
          <w:p w14:paraId="1DAB9D4E" w14:textId="77777777" w:rsidR="0089353A" w:rsidRPr="0089353A" w:rsidRDefault="0089353A" w:rsidP="0089353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2023年在公众号“地球知识局”发表防洪韧性分析科普文章，单篇文章阅读量10W+ </w:t>
            </w:r>
          </w:p>
          <w:p w14:paraId="621B9719" w14:textId="5BD679D5" w:rsidR="005C6C7D" w:rsidRDefault="0089353A" w:rsidP="00FC7D54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2023年受邀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在国家图书馆</w:t>
            </w: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韧性城市</w:t>
            </w: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科普报告</w:t>
            </w:r>
          </w:p>
        </w:tc>
      </w:tr>
      <w:tr w:rsidR="005C6C7D" w14:paraId="4C320AB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55D1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5C6C7D" w14:paraId="7BE9D00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2A909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4AAB96D6" w14:textId="00FF43BE" w:rsidR="005C6C7D" w:rsidRPr="00FC7D54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     </w:t>
            </w:r>
            <w:r w:rsidR="00FC7D54" w:rsidRPr="00FC7D54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中国科协青年人才托举工程项目（主持）</w:t>
            </w:r>
            <w:r w:rsidRPr="00FC7D54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33C65E0B" w14:textId="77777777" w:rsidR="005C6C7D" w:rsidRDefault="005C6C7D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C129EB7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0502E378" w14:textId="77777777" w:rsidR="00FC7D54" w:rsidRPr="0089353A" w:rsidRDefault="00FC7D54" w:rsidP="00FC7D5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安全</w:t>
            </w:r>
            <w:proofErr w:type="gramStart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韧性雄安构建</w:t>
            </w:r>
            <w:proofErr w:type="gramEnd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顶层设计研究，国家重点研发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66BD0AD2" w14:textId="6ABFD01B" w:rsidR="0089353A" w:rsidRPr="0089353A" w:rsidRDefault="0089353A" w:rsidP="0089353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县域碳排放分区</w:t>
            </w:r>
            <w:proofErr w:type="gramStart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与控碳体系</w:t>
            </w:r>
            <w:proofErr w:type="gramEnd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及关键约束标准研究，国家重点研发计划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729D4274" w14:textId="77777777" w:rsidR="00FC7D54" w:rsidRPr="0089353A" w:rsidRDefault="0089353A" w:rsidP="00FC7D5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基于城镇公共服务设施引导差异</w:t>
            </w:r>
            <w:proofErr w:type="gramStart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性居民</w:t>
            </w:r>
            <w:proofErr w:type="gramEnd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行为的低碳空间规划方法研究，国家自然科学基金委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4A056E9E" w14:textId="2D655C0E" w:rsidR="00FC7D54" w:rsidRPr="0089353A" w:rsidRDefault="0089353A" w:rsidP="00FC7D5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绿色低碳发展理念下</w:t>
            </w:r>
            <w:proofErr w:type="gramStart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天津区级国图</w:t>
            </w:r>
            <w:proofErr w:type="gramEnd"/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空间规划实施路径与智能监测研究，天津市教委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05510785" w14:textId="7E567061" w:rsidR="0089353A" w:rsidRPr="00FC7D54" w:rsidRDefault="0089353A" w:rsidP="0089353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重庆市中心城区防洪韧性策略及护岸韧性示范研究，重庆市</w:t>
            </w:r>
            <w:r w:rsidR="00B12B5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自然资源和</w:t>
            </w: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规划局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109A309E" w14:textId="4CF941B9" w:rsidR="0089353A" w:rsidRPr="0089353A" w:rsidRDefault="0089353A" w:rsidP="0089353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山地城市低碳空间设计研究（中法生态城），凯里市政府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  <w:bookmarkStart w:id="0" w:name="_GoBack"/>
            <w:bookmarkEnd w:id="0"/>
          </w:p>
          <w:p w14:paraId="0647D2D3" w14:textId="115B451B" w:rsidR="0089353A" w:rsidRPr="0089353A" w:rsidRDefault="0089353A" w:rsidP="0089353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“十三五”规划低碳与韧性城市发展进展评估与建议，亚洲开发银行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0C6FAFB0" w14:textId="7576E0B1" w:rsidR="0089353A" w:rsidRPr="0089353A" w:rsidRDefault="0089353A" w:rsidP="0089353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935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珠海市韧性城市规划设计策略研究，珠海市政府 </w:t>
            </w:r>
            <w:r w:rsidR="00FC7D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（参与）</w:t>
            </w:r>
          </w:p>
          <w:p w14:paraId="0C56E05C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7ED3A66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DDCB7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0F30B62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418F6" w14:textId="6682D2A1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FC7D54"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2021年出版译著，《湾区都市群景观适应性》</w:t>
            </w:r>
          </w:p>
          <w:p w14:paraId="3F53CA2C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C7FE2AA" w14:textId="074ADEC1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3C7D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篇，主要包括：</w:t>
            </w:r>
          </w:p>
          <w:p w14:paraId="123ABAA1" w14:textId="34ECEA15" w:rsidR="00FC7D54" w:rsidRPr="00FC7D54" w:rsidRDefault="00FC7D54" w:rsidP="00FE0C7D">
            <w:pPr>
              <w:widowControl/>
              <w:ind w:leftChars="114" w:left="384" w:hangingChars="97" w:hanging="145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[1]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尚雪峰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,仇保兴,张赫,等.CAS视角下</w:t>
            </w:r>
            <w:proofErr w:type="gramStart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城市适灾韧性</w:t>
            </w:r>
            <w:proofErr w:type="gramEnd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提升方法、机制与实践[J].城市发展研究,2024,31(4):61-69.</w:t>
            </w:r>
            <w:r w:rsidRPr="00FC7D54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（CSSCI封面文章）</w:t>
            </w:r>
          </w:p>
          <w:p w14:paraId="72167971" w14:textId="16156B58" w:rsidR="00FC7D54" w:rsidRPr="00FC7D54" w:rsidRDefault="00FC7D54" w:rsidP="00FE0C7D">
            <w:pPr>
              <w:widowControl/>
              <w:ind w:leftChars="114" w:left="384" w:hangingChars="97" w:hanging="145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8D774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尚雪峰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,仇保兴,王文静.适应性视角下山地城市低碳设计策略[J].规划师,2023,39(03):117-124.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（CS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SCI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） </w:t>
            </w:r>
          </w:p>
          <w:p w14:paraId="0814E08F" w14:textId="7860E45F" w:rsidR="00FC7D54" w:rsidRPr="00FC7D54" w:rsidRDefault="00FC7D54" w:rsidP="00FE0C7D">
            <w:pPr>
              <w:widowControl/>
              <w:ind w:leftChars="114" w:left="384" w:hangingChars="97" w:hanging="145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8D774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尚雪峰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,仇保兴.CAS视角</w:t>
            </w:r>
            <w:proofErr w:type="gramStart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下洪水</w:t>
            </w:r>
            <w:proofErr w:type="gramEnd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风险治理的“构成”与“生成”[J].城市发展研究,2024,31(02):71-79.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（CSSCI） </w:t>
            </w:r>
          </w:p>
          <w:p w14:paraId="6C23E220" w14:textId="1BCAF897" w:rsidR="00FC7D54" w:rsidRDefault="00FC7D54" w:rsidP="00FE0C7D">
            <w:pPr>
              <w:widowControl/>
              <w:ind w:leftChars="114" w:left="384" w:hangingChars="97" w:hanging="145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[4]闫晋波,杨海晶,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尚雪峰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.城市设计工作精细化管理刍议[J].城乡建设,2019,No.573(18):32-34. </w:t>
            </w:r>
          </w:p>
          <w:p w14:paraId="31A43826" w14:textId="23760DDB" w:rsidR="00FE0C7D" w:rsidRPr="00FE0C7D" w:rsidRDefault="00FE0C7D" w:rsidP="00D14DD0">
            <w:pPr>
              <w:widowControl/>
              <w:ind w:leftChars="113" w:left="384" w:hangingChars="98" w:hanging="147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  <w:lang w:val="de-DE"/>
              </w:rPr>
              <w:t>[5]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Zhang, Y., Liu, Z., Zhang, H., &amp; </w:t>
            </w:r>
            <w:r w:rsidRPr="00FE0C7D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  <w:lang w:val="de-DE"/>
              </w:rPr>
              <w:t>Shang, X</w:t>
            </w:r>
            <w:r w:rsidRPr="00FE0C7D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  <w:lang w:val="de-DE"/>
              </w:rPr>
              <w:t>*</w:t>
            </w:r>
            <w:r w:rsidRP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  <w:lang w:val="de-DE"/>
              </w:rPr>
              <w:t>.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 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How Does Recreational Space Configuration Affect Travel Carbon Emissions? The Mediating Role of Perceived Time Cost in Tianjin, China. </w:t>
            </w:r>
            <w:r w:rsidRPr="00FE0C7D">
              <w:rPr>
                <w:rFonts w:ascii="微软雅黑" w:eastAsia="微软雅黑" w:hAnsi="微软雅黑" w:cs="微软雅黑"/>
                <w:i/>
                <w:iCs/>
                <w:color w:val="013298"/>
                <w:kern w:val="0"/>
                <w:sz w:val="15"/>
                <w:szCs w:val="15"/>
              </w:rPr>
              <w:t>Land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(Accepted)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(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SCI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，JCRQ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2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）</w:t>
            </w:r>
          </w:p>
          <w:p w14:paraId="156F53C9" w14:textId="6FB2A486" w:rsidR="008D774E" w:rsidRPr="00FC7D54" w:rsidRDefault="008D774E" w:rsidP="00D14DD0">
            <w:pPr>
              <w:widowControl/>
              <w:ind w:leftChars="113" w:left="384" w:hangingChars="98" w:hanging="147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Zhang Y, Zhang H, </w:t>
            </w:r>
            <w:r w:rsidRPr="008D774E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Shang X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Dong H, Wang C, Li Y. Spatial Heterogeneity of O2H-Induced Efficiency Gains in Chain Retail Space: Evidence from Tianjin, China. </w:t>
            </w:r>
            <w:r w:rsidRPr="008D774E">
              <w:rPr>
                <w:rFonts w:ascii="微软雅黑" w:eastAsia="微软雅黑" w:hAnsi="微软雅黑" w:cs="微软雅黑"/>
                <w:i/>
                <w:iCs/>
                <w:color w:val="013298"/>
                <w:kern w:val="0"/>
                <w:sz w:val="15"/>
                <w:szCs w:val="15"/>
              </w:rPr>
              <w:t>Applied Sciences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2026; 16(6):2761.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(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SCIE，JCRQ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1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）</w:t>
            </w:r>
          </w:p>
          <w:p w14:paraId="23769B08" w14:textId="4FA4A43E" w:rsidR="008D774E" w:rsidRPr="008D774E" w:rsidRDefault="008D774E" w:rsidP="00D14DD0">
            <w:pPr>
              <w:widowControl/>
              <w:ind w:leftChars="113" w:left="384" w:hangingChars="98" w:hanging="147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He, S., Liu, Z., </w:t>
            </w:r>
            <w:r w:rsidRPr="008D774E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Shang, X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 et al. An evaluation system for regional cultural suitability of urban cross-river bridges: insights into the liberation bridge in Tianjin. Sci Rep </w:t>
            </w:r>
            <w:r w:rsidRPr="008D774E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16</w:t>
            </w:r>
            <w:r w:rsidRPr="008D77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5516 (2026).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SCIE，JCRQ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1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）</w:t>
            </w:r>
          </w:p>
          <w:p w14:paraId="37A6D797" w14:textId="303212CA" w:rsidR="00FC7D54" w:rsidRPr="00FC7D54" w:rsidRDefault="00FC7D54" w:rsidP="00D14DD0">
            <w:pPr>
              <w:widowControl/>
              <w:ind w:leftChars="113" w:left="384" w:hangingChars="98" w:hanging="147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>[</w:t>
            </w:r>
            <w:r w:rsid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  <w:lang w:val="de-DE"/>
              </w:rPr>
              <w:t>8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] Zhang, H., Zhang, J., Wang, R. , 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  <w:lang w:val="de-DE"/>
              </w:rPr>
              <w:t xml:space="preserve">Shang, X. 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,et al. 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Smart carbon monitoring platform under IoT-Cloud architecture for small cities in B5G. Wireless </w:t>
            </w:r>
            <w:proofErr w:type="spellStart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Netw</w:t>
            </w:r>
            <w:r w:rsidR="008D774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eb</w:t>
            </w:r>
            <w:proofErr w:type="spellEnd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(2021).（</w:t>
            </w:r>
            <w:r w:rsidRPr="00FC7D54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SCIE，JCRQ2） </w:t>
            </w:r>
          </w:p>
          <w:p w14:paraId="21273DB8" w14:textId="1C3609EB" w:rsidR="005C6C7D" w:rsidRDefault="00FC7D54" w:rsidP="00D14DD0">
            <w:pPr>
              <w:widowControl/>
              <w:ind w:leftChars="113" w:left="384" w:hangingChars="98" w:hanging="147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>[</w:t>
            </w:r>
            <w:r w:rsidR="00FE0C7D" w:rsidRPr="00FE0C7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  <w:lang w:val="de-DE"/>
              </w:rPr>
              <w:t>9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] Zhang, H., Zhang, J., Wang, R., Peng, Q., </w:t>
            </w:r>
            <w:r w:rsidRPr="00FE0C7D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  <w:lang w:val="de-DE"/>
              </w:rPr>
              <w:t>Shang, X</w:t>
            </w: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  <w:lang w:val="de-DE"/>
              </w:rPr>
              <w:t xml:space="preserve">., Gao, C. (2020). </w:t>
            </w:r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Construction of Smart Carbon Monitoring Platform for Small Cities in China Based on Internet of Things. In: Wang, X., Leung, V.C.M., Li, K., Zhang, H., Hu, X., Liu, Q. (eds) 6GN for Future Wireless Networks. 6GN 2020. </w:t>
            </w:r>
            <w:proofErr w:type="gramStart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vol</w:t>
            </w:r>
            <w:proofErr w:type="gramEnd"/>
            <w:r w:rsidRPr="00FC7D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337. Springer, Cham.</w:t>
            </w:r>
          </w:p>
          <w:p w14:paraId="79778AE4" w14:textId="77777777" w:rsidR="005C6C7D" w:rsidRPr="00324940" w:rsidRDefault="005C6C7D" w:rsidP="00FC7D54">
            <w:pPr>
              <w:widowControl/>
              <w:ind w:leftChars="-21" w:left="1" w:hangingChars="30" w:hanging="45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95159BA" w14:textId="77777777" w:rsidR="005C6C7D" w:rsidRDefault="00FE0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【授权专利】</w:t>
            </w:r>
          </w:p>
          <w:p w14:paraId="0ED16F17" w14:textId="01C1A0CE" w:rsidR="00FE0C7D" w:rsidRPr="00FE0C7D" w:rsidRDefault="00FE0C7D" w:rsidP="00FE0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E0C7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2021年获得实用新型专利证书，“一种升降式防洪墙” </w:t>
            </w:r>
          </w:p>
          <w:p w14:paraId="7A183EDE" w14:textId="2C33023C" w:rsidR="00FE0C7D" w:rsidRPr="00FE0C7D" w:rsidRDefault="00FE0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5AC982A2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332B5"/>
    <w:rsid w:val="0004427E"/>
    <w:rsid w:val="000E595A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C7DC3"/>
    <w:rsid w:val="003D1F5D"/>
    <w:rsid w:val="005C6C7D"/>
    <w:rsid w:val="006226D7"/>
    <w:rsid w:val="00634A25"/>
    <w:rsid w:val="006B68C1"/>
    <w:rsid w:val="007B0AE8"/>
    <w:rsid w:val="007B7885"/>
    <w:rsid w:val="00840F70"/>
    <w:rsid w:val="0089353A"/>
    <w:rsid w:val="008C6531"/>
    <w:rsid w:val="008D774E"/>
    <w:rsid w:val="008F0791"/>
    <w:rsid w:val="00954697"/>
    <w:rsid w:val="009A4937"/>
    <w:rsid w:val="00AC55DE"/>
    <w:rsid w:val="00AF6AB1"/>
    <w:rsid w:val="00B12B5D"/>
    <w:rsid w:val="00B23BBA"/>
    <w:rsid w:val="00B45D2A"/>
    <w:rsid w:val="00D14DD0"/>
    <w:rsid w:val="00DA2BDA"/>
    <w:rsid w:val="00DD6CA0"/>
    <w:rsid w:val="00E04D0E"/>
    <w:rsid w:val="00E13718"/>
    <w:rsid w:val="00E34AD8"/>
    <w:rsid w:val="00E842D1"/>
    <w:rsid w:val="00EE2E06"/>
    <w:rsid w:val="00F634D7"/>
    <w:rsid w:val="00F67505"/>
    <w:rsid w:val="00FC7D54"/>
    <w:rsid w:val="00FE0C7D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ABD47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1317</Words>
  <Characters>1383</Characters>
  <Application>Microsoft Office Word</Application>
  <DocSecurity>0</DocSecurity>
  <Lines>11</Lines>
  <Paragraphs>5</Paragraphs>
  <ScaleCrop>false</ScaleCrop>
  <Company>xtz.kuaimaxt.cn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2026-06-07T12:28:00Z</dcterms:created>
  <dcterms:modified xsi:type="dcterms:W3CDTF">2026-06-08T02:48:00Z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